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0B98" w14:textId="22572755" w:rsidR="00A14A19" w:rsidRDefault="0011128E">
      <w:pPr>
        <w:spacing w:before="20" w:line="333" w:lineRule="exact"/>
        <w:jc w:val="center"/>
        <w:textAlignment w:val="baseline"/>
        <w:rPr>
          <w:rFonts w:ascii="Arial" w:eastAsia="Arial" w:hAnsi="Arial"/>
          <w:b/>
          <w:color w:val="000000"/>
          <w:spacing w:val="8"/>
          <w:sz w:val="33"/>
          <w:u w:val="single"/>
        </w:rPr>
      </w:pPr>
      <w:bookmarkStart w:id="0" w:name="_GoBack"/>
      <w:bookmarkEnd w:id="0"/>
      <w:r>
        <w:rPr>
          <w:noProof/>
        </w:rPr>
        <mc:AlternateContent>
          <mc:Choice Requires="wps">
            <w:drawing>
              <wp:anchor distT="0" distB="0" distL="0" distR="0" simplePos="0" relativeHeight="251657728" behindDoc="1" locked="0" layoutInCell="1" allowOverlap="1" wp14:anchorId="5D280D2A" wp14:editId="3973963B">
                <wp:simplePos x="0" y="0"/>
                <wp:positionH relativeFrom="page">
                  <wp:posOffset>457200</wp:posOffset>
                </wp:positionH>
                <wp:positionV relativeFrom="page">
                  <wp:posOffset>330200</wp:posOffset>
                </wp:positionV>
                <wp:extent cx="6559550" cy="102552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520"/>
                              <w:gridCol w:w="7810"/>
                            </w:tblGrid>
                            <w:tr w:rsidR="00A14A19" w14:paraId="27C6773F" w14:textId="77777777">
                              <w:tblPrEx>
                                <w:tblCellMar>
                                  <w:top w:w="0" w:type="dxa"/>
                                  <w:bottom w:w="0" w:type="dxa"/>
                                </w:tblCellMar>
                              </w:tblPrEx>
                              <w:trPr>
                                <w:trHeight w:hRule="exact" w:val="1219"/>
                              </w:trPr>
                              <w:tc>
                                <w:tcPr>
                                  <w:tcW w:w="2520" w:type="dxa"/>
                                  <w:tcBorders>
                                    <w:top w:val="none" w:sz="0" w:space="0" w:color="000000"/>
                                    <w:left w:val="none" w:sz="0" w:space="0" w:color="000000"/>
                                    <w:bottom w:val="none" w:sz="0" w:space="0" w:color="000000"/>
                                    <w:right w:val="none" w:sz="0" w:space="0" w:color="000000"/>
                                  </w:tcBorders>
                                </w:tcPr>
                                <w:p w14:paraId="648DEA9C" w14:textId="77777777" w:rsidR="00A14A19" w:rsidRDefault="0011128E">
                                  <w:pPr>
                                    <w:spacing w:before="18" w:after="21"/>
                                    <w:ind w:left="86"/>
                                    <w:jc w:val="right"/>
                                    <w:textAlignment w:val="baseline"/>
                                  </w:pPr>
                                  <w:r>
                                    <w:rPr>
                                      <w:noProof/>
                                    </w:rPr>
                                    <w:drawing>
                                      <wp:inline distT="0" distB="0" distL="0" distR="0" wp14:anchorId="5BA8627B" wp14:editId="65D6EA9D">
                                        <wp:extent cx="1545590" cy="7493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1545590" cy="749300"/>
                                                </a:xfrm>
                                                <a:prstGeom prst="rect">
                                                  <a:avLst/>
                                                </a:prstGeom>
                                              </pic:spPr>
                                            </pic:pic>
                                          </a:graphicData>
                                        </a:graphic>
                                      </wp:inline>
                                    </w:drawing>
                                  </w:r>
                                </w:p>
                              </w:tc>
                              <w:tc>
                                <w:tcPr>
                                  <w:tcW w:w="7810" w:type="dxa"/>
                                  <w:tcBorders>
                                    <w:top w:val="none" w:sz="0" w:space="0" w:color="000000"/>
                                    <w:left w:val="none" w:sz="0" w:space="0" w:color="000000"/>
                                    <w:bottom w:val="none" w:sz="0" w:space="0" w:color="000000"/>
                                    <w:right w:val="none" w:sz="0" w:space="0" w:color="000000"/>
                                  </w:tcBorders>
                                  <w:vAlign w:val="bottom"/>
                                </w:tcPr>
                                <w:p w14:paraId="336E4128" w14:textId="77777777" w:rsidR="00A14A19" w:rsidRDefault="0011128E">
                                  <w:pPr>
                                    <w:spacing w:before="997" w:line="211" w:lineRule="exact"/>
                                    <w:ind w:right="5"/>
                                    <w:jc w:val="right"/>
                                    <w:textAlignment w:val="baseline"/>
                                    <w:rPr>
                                      <w:rFonts w:ascii="Arial" w:eastAsia="Arial" w:hAnsi="Arial"/>
                                      <w:color w:val="000000"/>
                                      <w:sz w:val="19"/>
                                    </w:rPr>
                                  </w:pPr>
                                  <w:r>
                                    <w:rPr>
                                      <w:rFonts w:ascii="Arial" w:eastAsia="Arial" w:hAnsi="Arial"/>
                                      <w:color w:val="000000"/>
                                      <w:sz w:val="19"/>
                                    </w:rPr>
                                    <w:t>December 13, 2019</w:t>
                                  </w:r>
                                </w:p>
                              </w:tc>
                            </w:tr>
                          </w:tbl>
                          <w:p w14:paraId="03D96BF4" w14:textId="77777777" w:rsidR="00A14A19" w:rsidRDefault="00A14A19">
                            <w:pPr>
                              <w:spacing w:after="37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80D2A" id="_x0000_t202" coordsize="21600,21600" o:spt="202" path="m,l,21600r21600,l21600,xe">
                <v:stroke joinstyle="miter"/>
                <v:path gradientshapeok="t" o:connecttype="rect"/>
              </v:shapetype>
              <v:shape id="_x0000_s0" o:spid="_x0000_s1026" type="#_x0000_t202" style="position:absolute;left:0;text-align:left;margin-left:36pt;margin-top:26pt;width:516.5pt;height:80.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520"/>
                        <w:gridCol w:w="7810"/>
                      </w:tblGrid>
                      <w:tr w:rsidR="00A14A19" w14:paraId="27C6773F" w14:textId="77777777">
                        <w:tblPrEx>
                          <w:tblCellMar>
                            <w:top w:w="0" w:type="dxa"/>
                            <w:bottom w:w="0" w:type="dxa"/>
                          </w:tblCellMar>
                        </w:tblPrEx>
                        <w:trPr>
                          <w:trHeight w:hRule="exact" w:val="1219"/>
                        </w:trPr>
                        <w:tc>
                          <w:tcPr>
                            <w:tcW w:w="2520" w:type="dxa"/>
                            <w:tcBorders>
                              <w:top w:val="none" w:sz="0" w:space="0" w:color="000000"/>
                              <w:left w:val="none" w:sz="0" w:space="0" w:color="000000"/>
                              <w:bottom w:val="none" w:sz="0" w:space="0" w:color="000000"/>
                              <w:right w:val="none" w:sz="0" w:space="0" w:color="000000"/>
                            </w:tcBorders>
                          </w:tcPr>
                          <w:p w14:paraId="648DEA9C" w14:textId="77777777" w:rsidR="00A14A19" w:rsidRDefault="0011128E">
                            <w:pPr>
                              <w:spacing w:before="18" w:after="21"/>
                              <w:ind w:left="86"/>
                              <w:jc w:val="right"/>
                              <w:textAlignment w:val="baseline"/>
                            </w:pPr>
                            <w:r>
                              <w:rPr>
                                <w:noProof/>
                              </w:rPr>
                              <w:drawing>
                                <wp:inline distT="0" distB="0" distL="0" distR="0" wp14:anchorId="5BA8627B" wp14:editId="65D6EA9D">
                                  <wp:extent cx="1545590" cy="7493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1545590" cy="749300"/>
                                          </a:xfrm>
                                          <a:prstGeom prst="rect">
                                            <a:avLst/>
                                          </a:prstGeom>
                                        </pic:spPr>
                                      </pic:pic>
                                    </a:graphicData>
                                  </a:graphic>
                                </wp:inline>
                              </w:drawing>
                            </w:r>
                          </w:p>
                        </w:tc>
                        <w:tc>
                          <w:tcPr>
                            <w:tcW w:w="7810" w:type="dxa"/>
                            <w:tcBorders>
                              <w:top w:val="none" w:sz="0" w:space="0" w:color="000000"/>
                              <w:left w:val="none" w:sz="0" w:space="0" w:color="000000"/>
                              <w:bottom w:val="none" w:sz="0" w:space="0" w:color="000000"/>
                              <w:right w:val="none" w:sz="0" w:space="0" w:color="000000"/>
                            </w:tcBorders>
                            <w:vAlign w:val="bottom"/>
                          </w:tcPr>
                          <w:p w14:paraId="336E4128" w14:textId="77777777" w:rsidR="00A14A19" w:rsidRDefault="0011128E">
                            <w:pPr>
                              <w:spacing w:before="997" w:line="211" w:lineRule="exact"/>
                              <w:ind w:right="5"/>
                              <w:jc w:val="right"/>
                              <w:textAlignment w:val="baseline"/>
                              <w:rPr>
                                <w:rFonts w:ascii="Arial" w:eastAsia="Arial" w:hAnsi="Arial"/>
                                <w:color w:val="000000"/>
                                <w:sz w:val="19"/>
                              </w:rPr>
                            </w:pPr>
                            <w:r>
                              <w:rPr>
                                <w:rFonts w:ascii="Arial" w:eastAsia="Arial" w:hAnsi="Arial"/>
                                <w:color w:val="000000"/>
                                <w:sz w:val="19"/>
                              </w:rPr>
                              <w:t>December 13, 2019</w:t>
                            </w:r>
                          </w:p>
                        </w:tc>
                      </w:tr>
                    </w:tbl>
                    <w:p w14:paraId="03D96BF4" w14:textId="77777777" w:rsidR="00A14A19" w:rsidRDefault="00A14A19">
                      <w:pPr>
                        <w:spacing w:after="376" w:line="20" w:lineRule="exact"/>
                      </w:pPr>
                    </w:p>
                  </w:txbxContent>
                </v:textbox>
                <w10:wrap type="square" anchorx="page" anchory="page"/>
              </v:shape>
            </w:pict>
          </mc:Fallback>
        </mc:AlternateContent>
      </w:r>
      <w:r>
        <w:rPr>
          <w:rFonts w:ascii="Arial" w:eastAsia="Arial" w:hAnsi="Arial"/>
          <w:b/>
          <w:color w:val="000000"/>
          <w:spacing w:val="8"/>
          <w:sz w:val="33"/>
          <w:u w:val="single"/>
        </w:rPr>
        <w:t>Press Release - Press release</w:t>
      </w:r>
    </w:p>
    <w:p w14:paraId="1804A0F6" w14:textId="77777777" w:rsidR="00A14A19" w:rsidRDefault="0011128E">
      <w:pPr>
        <w:spacing w:before="586" w:line="439" w:lineRule="exact"/>
        <w:jc w:val="center"/>
        <w:textAlignment w:val="baseline"/>
        <w:rPr>
          <w:rFonts w:ascii="Arial" w:eastAsia="Arial" w:hAnsi="Arial"/>
          <w:b/>
          <w:color w:val="000000"/>
          <w:spacing w:val="-5"/>
          <w:w w:val="115"/>
          <w:sz w:val="39"/>
        </w:rPr>
      </w:pPr>
      <w:r>
        <w:rPr>
          <w:rFonts w:ascii="Arial" w:eastAsia="Arial" w:hAnsi="Arial"/>
          <w:b/>
          <w:color w:val="000000"/>
          <w:spacing w:val="-5"/>
          <w:w w:val="115"/>
          <w:sz w:val="39"/>
        </w:rPr>
        <w:t>Inaugural trip</w:t>
      </w:r>
    </w:p>
    <w:p w14:paraId="049FAF93" w14:textId="77777777" w:rsidR="00A14A19" w:rsidRDefault="0011128E">
      <w:pPr>
        <w:spacing w:before="75" w:line="439" w:lineRule="exact"/>
        <w:jc w:val="center"/>
        <w:textAlignment w:val="baseline"/>
        <w:rPr>
          <w:rFonts w:ascii="Arial" w:eastAsia="Arial" w:hAnsi="Arial"/>
          <w:b/>
          <w:color w:val="000000"/>
          <w:spacing w:val="-4"/>
          <w:w w:val="115"/>
          <w:sz w:val="39"/>
        </w:rPr>
      </w:pPr>
      <w:r>
        <w:rPr>
          <w:rFonts w:ascii="Arial" w:eastAsia="Arial" w:hAnsi="Arial"/>
          <w:b/>
          <w:color w:val="000000"/>
          <w:spacing w:val="-4"/>
          <w:w w:val="115"/>
          <w:sz w:val="39"/>
        </w:rPr>
        <w:t>and operational launch of FEBUS in Pau</w:t>
      </w:r>
    </w:p>
    <w:p w14:paraId="7D1F4256" w14:textId="77777777" w:rsidR="00A14A19" w:rsidRDefault="0011128E">
      <w:pPr>
        <w:spacing w:before="447" w:line="312" w:lineRule="exact"/>
        <w:jc w:val="center"/>
        <w:textAlignment w:val="baseline"/>
        <w:rPr>
          <w:rFonts w:ascii="Arial" w:eastAsia="Arial" w:hAnsi="Arial"/>
          <w:b/>
          <w:color w:val="000000"/>
          <w:sz w:val="23"/>
        </w:rPr>
      </w:pPr>
      <w:r>
        <w:rPr>
          <w:rFonts w:ascii="Arial" w:eastAsia="Arial" w:hAnsi="Arial"/>
          <w:b/>
          <w:color w:val="000000"/>
          <w:sz w:val="23"/>
        </w:rPr>
        <w:t>After its unveiling in September in Pau, and the inauguration of the hydrogen station, Fébus lebus at High Level of Service, makes its inaugural trip and launches its operational commissioning on Tuesday 17 December 2019.</w:t>
      </w:r>
    </w:p>
    <w:p w14:paraId="3340D654" w14:textId="77777777" w:rsidR="00A14A19" w:rsidRDefault="0011128E">
      <w:pPr>
        <w:spacing w:before="300" w:line="369" w:lineRule="exact"/>
        <w:jc w:val="both"/>
        <w:textAlignment w:val="baseline"/>
        <w:rPr>
          <w:rFonts w:ascii="Arial" w:eastAsia="Arial" w:hAnsi="Arial"/>
          <w:color w:val="000000"/>
          <w:sz w:val="19"/>
        </w:rPr>
      </w:pPr>
      <w:r>
        <w:rPr>
          <w:rFonts w:ascii="Arial" w:eastAsia="Arial" w:hAnsi="Arial"/>
          <w:color w:val="000000"/>
          <w:sz w:val="19"/>
        </w:rPr>
        <w:t>After three years of work, Fébus was commissioned on 17 December 2019. The first 18-metre bus to run on 100% clean hydrogen, this exclusive lane public transport system (BRT) provided an opportunity to rethink urban development by transforming the district</w:t>
      </w:r>
      <w:r>
        <w:rPr>
          <w:rFonts w:ascii="Arial" w:eastAsia="Arial" w:hAnsi="Arial"/>
          <w:color w:val="000000"/>
          <w:sz w:val="19"/>
        </w:rPr>
        <w:t>s crossed along its 6 km route.</w:t>
      </w:r>
    </w:p>
    <w:p w14:paraId="596B1C5F" w14:textId="77777777" w:rsidR="00A14A19" w:rsidRDefault="0011128E">
      <w:pPr>
        <w:spacing w:before="367" w:line="369" w:lineRule="exact"/>
        <w:jc w:val="both"/>
        <w:textAlignment w:val="baseline"/>
        <w:rPr>
          <w:rFonts w:ascii="Arial" w:eastAsia="Arial" w:hAnsi="Arial"/>
          <w:color w:val="000000"/>
          <w:sz w:val="19"/>
        </w:rPr>
      </w:pPr>
      <w:r>
        <w:rPr>
          <w:rFonts w:ascii="Arial" w:eastAsia="Arial" w:hAnsi="Arial"/>
          <w:color w:val="000000"/>
          <w:sz w:val="19"/>
        </w:rPr>
        <w:t>Its unique and innovative features have enabled it to win the highest distinction, the "Grand Award Bus", rewarding technological and aesthetic innovation, as well as the Ecology label, at the 25th edition of the BUSWORLD in</w:t>
      </w:r>
      <w:r>
        <w:rPr>
          <w:rFonts w:ascii="Arial" w:eastAsia="Arial" w:hAnsi="Arial"/>
          <w:color w:val="000000"/>
          <w:sz w:val="19"/>
        </w:rPr>
        <w:t xml:space="preserve"> Brussels, which is the largest and oldest bus exhibition in the world.</w:t>
      </w:r>
    </w:p>
    <w:p w14:paraId="7D2C49C4" w14:textId="77777777" w:rsidR="00A14A19" w:rsidRDefault="0011128E">
      <w:pPr>
        <w:spacing w:before="362" w:line="369" w:lineRule="exact"/>
        <w:jc w:val="both"/>
        <w:textAlignment w:val="baseline"/>
        <w:rPr>
          <w:rFonts w:ascii="Arial" w:eastAsia="Arial" w:hAnsi="Arial"/>
          <w:color w:val="000000"/>
          <w:spacing w:val="6"/>
          <w:sz w:val="19"/>
        </w:rPr>
      </w:pPr>
      <w:r>
        <w:rPr>
          <w:rFonts w:ascii="Arial" w:eastAsia="Arial" w:hAnsi="Arial"/>
          <w:color w:val="000000"/>
          <w:spacing w:val="6"/>
          <w:sz w:val="19"/>
        </w:rPr>
        <w:t>Since last September, a period of testing and training of drivers on the driving characteristics of this new vehicle has provided an opportunity to see Fébus circulate in the city befo</w:t>
      </w:r>
      <w:r>
        <w:rPr>
          <w:rFonts w:ascii="Arial" w:eastAsia="Arial" w:hAnsi="Arial"/>
          <w:color w:val="000000"/>
          <w:spacing w:val="6"/>
          <w:sz w:val="19"/>
        </w:rPr>
        <w:t>re it is put into service. These tests have improved its performance and ensured compliance with safety, traffic flow and energy performance requirements.</w:t>
      </w:r>
    </w:p>
    <w:p w14:paraId="2716DB91" w14:textId="77777777" w:rsidR="00A14A19" w:rsidRDefault="0011128E">
      <w:pPr>
        <w:spacing w:before="372" w:line="368" w:lineRule="exact"/>
        <w:jc w:val="both"/>
        <w:textAlignment w:val="baseline"/>
        <w:rPr>
          <w:rFonts w:ascii="Tahoma" w:eastAsia="Tahoma" w:hAnsi="Tahoma"/>
          <w:b/>
          <w:color w:val="000000"/>
          <w:sz w:val="18"/>
        </w:rPr>
      </w:pPr>
      <w:r>
        <w:rPr>
          <w:rFonts w:ascii="Tahoma" w:eastAsia="Tahoma" w:hAnsi="Tahoma"/>
          <w:b/>
          <w:color w:val="000000"/>
          <w:sz w:val="18"/>
        </w:rPr>
        <w:t xml:space="preserve">For this launch day of Fébus, IDELIS announces an "Open House" day on December 17 from 3pm until the </w:t>
      </w:r>
      <w:r>
        <w:rPr>
          <w:rFonts w:ascii="Tahoma" w:eastAsia="Tahoma" w:hAnsi="Tahoma"/>
          <w:b/>
          <w:color w:val="000000"/>
          <w:sz w:val="18"/>
        </w:rPr>
        <w:t>end of the service: the 6 Fébus will be open to all users. Two "Discovery Days" are also offered to the public on 21 and 22 December: IDELIS staff will accompany users to each station, where a "2 trips" ticket will be offered (valid on 21 and 22 December),</w:t>
      </w:r>
      <w:r>
        <w:rPr>
          <w:rFonts w:ascii="Tahoma" w:eastAsia="Tahoma" w:hAnsi="Tahoma"/>
          <w:b/>
          <w:color w:val="000000"/>
          <w:sz w:val="18"/>
        </w:rPr>
        <w:t xml:space="preserve"> thus facilitating access to the city centre during this festive period.</w:t>
      </w:r>
    </w:p>
    <w:p w14:paraId="32F20ACA" w14:textId="77777777" w:rsidR="00A14A19" w:rsidRDefault="0011128E">
      <w:pPr>
        <w:spacing w:before="365" w:line="369" w:lineRule="exact"/>
        <w:jc w:val="both"/>
        <w:textAlignment w:val="baseline"/>
        <w:rPr>
          <w:rFonts w:ascii="Arial" w:eastAsia="Arial" w:hAnsi="Arial"/>
          <w:color w:val="000000"/>
          <w:spacing w:val="6"/>
          <w:sz w:val="19"/>
        </w:rPr>
      </w:pPr>
      <w:r>
        <w:rPr>
          <w:rFonts w:ascii="Arial" w:eastAsia="Arial" w:hAnsi="Arial"/>
          <w:color w:val="000000"/>
          <w:spacing w:val="6"/>
          <w:sz w:val="19"/>
        </w:rPr>
        <w:t>In addition to upgrading urban development and beautifying the living environment for residents and users, this innovative public transport system is in harmony with the vision of a p</w:t>
      </w:r>
      <w:r>
        <w:rPr>
          <w:rFonts w:ascii="Arial" w:eastAsia="Arial" w:hAnsi="Arial"/>
          <w:color w:val="000000"/>
          <w:spacing w:val="6"/>
          <w:sz w:val="19"/>
        </w:rPr>
        <w:t>lurality of soft mobility, and the desire to develop a less polluting and more peaceful network. Three car park relays, two of which are on the Fébus route, have been set up. Two of them are now open (Cliniques et Stades du Hameau) and a third is still und</w:t>
      </w:r>
      <w:r>
        <w:rPr>
          <w:rFonts w:ascii="Arial" w:eastAsia="Arial" w:hAnsi="Arial"/>
          <w:color w:val="000000"/>
          <w:spacing w:val="6"/>
          <w:sz w:val="19"/>
        </w:rPr>
        <w:t>er construction (Catherine de Bourbon) for a forthcoming delivery in early 2020. When Fébus is launched, it will therefore be possible to drop off your car at the car park and relay stations and drive through the city from north to south as well as through</w:t>
      </w:r>
      <w:r>
        <w:rPr>
          <w:rFonts w:ascii="Arial" w:eastAsia="Arial" w:hAnsi="Arial"/>
          <w:color w:val="000000"/>
          <w:spacing w:val="6"/>
          <w:sz w:val="19"/>
        </w:rPr>
        <w:t>out the city's IDELIS network and agglo, without using your car.</w:t>
      </w:r>
    </w:p>
    <w:p w14:paraId="0A94BB4E" w14:textId="77777777" w:rsidR="00A14A19" w:rsidRDefault="00A14A19">
      <w:pPr>
        <w:sectPr w:rsidR="00A14A19">
          <w:pgSz w:w="11904" w:h="16843"/>
          <w:pgMar w:top="2135" w:right="704" w:bottom="1147" w:left="720" w:header="720" w:footer="720" w:gutter="0"/>
          <w:cols w:space="708"/>
        </w:sectPr>
      </w:pPr>
    </w:p>
    <w:p w14:paraId="06E26399" w14:textId="77777777" w:rsidR="00A14A19" w:rsidRDefault="0011128E">
      <w:pPr>
        <w:spacing w:before="9" w:line="245" w:lineRule="exact"/>
        <w:ind w:right="72"/>
        <w:textAlignment w:val="baseline"/>
        <w:rPr>
          <w:rFonts w:ascii="Tahoma" w:eastAsia="Tahoma" w:hAnsi="Tahoma"/>
          <w:b/>
          <w:color w:val="000000"/>
          <w:sz w:val="18"/>
        </w:rPr>
      </w:pPr>
      <w:r>
        <w:rPr>
          <w:rFonts w:ascii="Tahoma" w:eastAsia="Tahoma" w:hAnsi="Tahoma"/>
          <w:b/>
          <w:color w:val="000000"/>
          <w:sz w:val="18"/>
        </w:rPr>
        <w:lastRenderedPageBreak/>
        <w:t>With this worldwide recognition and the deployment of alternative and cleaner solutions, Pau and its urban area are affirming their position as pioneers of innovation, and c</w:t>
      </w:r>
      <w:r>
        <w:rPr>
          <w:rFonts w:ascii="Tahoma" w:eastAsia="Tahoma" w:hAnsi="Tahoma"/>
          <w:b/>
          <w:color w:val="000000"/>
          <w:sz w:val="18"/>
        </w:rPr>
        <w:t>ontributing to the objectives of the Climate Action Plan in which the territory is located.</w:t>
      </w:r>
    </w:p>
    <w:p w14:paraId="3613AA44" w14:textId="77777777" w:rsidR="00A14A19" w:rsidRDefault="0011128E">
      <w:pPr>
        <w:spacing w:before="509" w:line="209" w:lineRule="exact"/>
        <w:jc w:val="center"/>
        <w:textAlignment w:val="baseline"/>
        <w:rPr>
          <w:rFonts w:ascii="Arial" w:eastAsia="Arial" w:hAnsi="Arial"/>
          <w:b/>
          <w:color w:val="000000"/>
          <w:spacing w:val="5"/>
          <w:sz w:val="19"/>
        </w:rPr>
      </w:pPr>
      <w:r>
        <w:rPr>
          <w:rFonts w:ascii="Arial" w:eastAsia="Arial" w:hAnsi="Arial"/>
          <w:b/>
          <w:color w:val="000000"/>
          <w:spacing w:val="5"/>
          <w:sz w:val="19"/>
        </w:rPr>
        <w:t>*********</w:t>
      </w:r>
    </w:p>
    <w:p w14:paraId="2B77C9B2" w14:textId="77777777" w:rsidR="00A14A19" w:rsidRDefault="0011128E">
      <w:pPr>
        <w:spacing w:before="118" w:line="210" w:lineRule="exact"/>
        <w:jc w:val="center"/>
        <w:textAlignment w:val="baseline"/>
        <w:rPr>
          <w:rFonts w:ascii="Tahoma" w:eastAsia="Tahoma" w:hAnsi="Tahoma"/>
          <w:b/>
          <w:color w:val="000000"/>
          <w:spacing w:val="2"/>
          <w:sz w:val="16"/>
        </w:rPr>
      </w:pPr>
      <w:r>
        <w:rPr>
          <w:rFonts w:ascii="Tahoma" w:eastAsia="Tahoma" w:hAnsi="Tahoma"/>
          <w:b/>
          <w:color w:val="000000"/>
          <w:spacing w:val="2"/>
          <w:sz w:val="16"/>
        </w:rPr>
        <w:t>Please distribute this information in future editions.</w:t>
      </w:r>
    </w:p>
    <w:p w14:paraId="2D818715" w14:textId="77777777" w:rsidR="00A14A19" w:rsidRDefault="0011128E">
      <w:pPr>
        <w:spacing w:before="125" w:line="213" w:lineRule="exact"/>
        <w:jc w:val="center"/>
        <w:textAlignment w:val="baseline"/>
        <w:rPr>
          <w:rFonts w:ascii="Tahoma" w:eastAsia="Tahoma" w:hAnsi="Tahoma"/>
          <w:b/>
          <w:color w:val="000000"/>
          <w:spacing w:val="3"/>
          <w:sz w:val="16"/>
          <w:u w:val="single"/>
        </w:rPr>
      </w:pPr>
      <w:r>
        <w:rPr>
          <w:rFonts w:ascii="Tahoma" w:eastAsia="Tahoma" w:hAnsi="Tahoma"/>
          <w:b/>
          <w:color w:val="000000"/>
          <w:spacing w:val="3"/>
          <w:sz w:val="16"/>
          <w:u w:val="single"/>
        </w:rPr>
        <w:t>Press contact</w:t>
      </w:r>
      <w:r>
        <w:rPr>
          <w:rFonts w:ascii="Tahoma" w:eastAsia="Tahoma" w:hAnsi="Tahoma"/>
          <w:b/>
          <w:color w:val="000000"/>
          <w:spacing w:val="3"/>
          <w:sz w:val="16"/>
        </w:rPr>
        <w:t xml:space="preserve">: Isabelle Deluga </w:t>
      </w:r>
      <w:r>
        <w:rPr>
          <w:rFonts w:ascii="Arial" w:eastAsia="Arial" w:hAnsi="Arial"/>
          <w:b/>
          <w:color w:val="000000"/>
          <w:spacing w:val="3"/>
          <w:sz w:val="19"/>
        </w:rPr>
        <w:t>/ 05 59 27 85 80 /</w:t>
      </w:r>
      <w:hyperlink r:id="rId5">
        <w:r>
          <w:rPr>
            <w:rFonts w:ascii="Arial" w:eastAsia="Arial" w:hAnsi="Arial"/>
            <w:b/>
            <w:color w:val="00007F"/>
            <w:spacing w:val="3"/>
            <w:sz w:val="16"/>
            <w:u w:val="single"/>
          </w:rPr>
          <w:t xml:space="preserve"> i.deluga@agglo-pau.fr </w:t>
        </w:r>
      </w:hyperlink>
      <w:r>
        <w:rPr>
          <w:rFonts w:ascii="Arial" w:eastAsia="Arial" w:hAnsi="Arial"/>
          <w:b/>
          <w:color w:val="00007F"/>
          <w:spacing w:val="3"/>
          <w:sz w:val="16"/>
          <w:u w:val="single"/>
        </w:rPr>
        <w:t xml:space="preserve"> </w:t>
      </w:r>
    </w:p>
    <w:sectPr w:rsidR="00A14A19">
      <w:pgSz w:w="11904" w:h="16843"/>
      <w:pgMar w:top="1080" w:right="815" w:bottom="13187" w:left="609"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19"/>
    <w:rsid w:val="0011128E"/>
    <w:rsid w:val="00A14A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0247"/>
  <w15:docId w15:val="{7C5410ED-8FC1-4E85-9928-59065C8D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deluga@agglo-pau.fr"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2431</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dc:creator>
  <cp:lastModifiedBy>Liesbet Vanhoof</cp:lastModifiedBy>
  <cp:revision>2</cp:revision>
  <dcterms:created xsi:type="dcterms:W3CDTF">2019-12-16T12:24:00Z</dcterms:created>
  <dcterms:modified xsi:type="dcterms:W3CDTF">2019-12-16T12:24:00Z</dcterms:modified>
</cp:coreProperties>
</file>